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药品及医疗器械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关键词,已咨询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(XXX省XX部门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XX电话)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，对方回复：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食品药品监督局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部门取得《互联网药品信息服务资格证书》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0739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330D8B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A02642"/>
    <w:rsid w:val="2FDE5719"/>
    <w:rsid w:val="2FF05575"/>
    <w:rsid w:val="2FF64009"/>
    <w:rsid w:val="300143CA"/>
    <w:rsid w:val="30094FEB"/>
    <w:rsid w:val="301244B1"/>
    <w:rsid w:val="302D25A4"/>
    <w:rsid w:val="30300197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2347B0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744990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autoRedefine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2024-04-18T01:49:10Z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E731DBD9B3444C199CADF2B3C6491089_13</vt:lpwstr>
  </property>
</Properties>
</file>